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8DA" w:rsidRDefault="007808DA" w:rsidP="00852CC4">
      <w:pPr>
        <w:jc w:val="center"/>
        <w:rPr>
          <w:rFonts w:ascii="標楷體" w:eastAsia="標楷體" w:hAnsi="標楷體"/>
          <w:spacing w:val="-12"/>
          <w:sz w:val="40"/>
          <w:szCs w:val="40"/>
        </w:rPr>
      </w:pPr>
      <w:bookmarkStart w:id="0" w:name="_GoBack"/>
      <w:r w:rsidRPr="001E5FA0">
        <w:rPr>
          <w:rFonts w:ascii="標楷體" w:eastAsia="標楷體" w:hAnsi="標楷體" w:hint="eastAsia"/>
          <w:spacing w:val="-12"/>
          <w:sz w:val="40"/>
          <w:szCs w:val="40"/>
        </w:rPr>
        <w:t>公務人員考績法施行細則</w:t>
      </w:r>
      <w:r w:rsidRPr="00FF5ACD">
        <w:rPr>
          <w:rFonts w:ascii="標楷體" w:eastAsia="標楷體" w:hAnsi="標楷體" w:hint="eastAsia"/>
          <w:spacing w:val="-12"/>
          <w:sz w:val="40"/>
          <w:szCs w:val="40"/>
        </w:rPr>
        <w:t>第十四條</w:t>
      </w:r>
      <w:r w:rsidRPr="001E5FA0">
        <w:rPr>
          <w:rFonts w:ascii="標楷體" w:eastAsia="標楷體" w:hAnsi="標楷體" w:hint="eastAsia"/>
          <w:spacing w:val="-12"/>
          <w:sz w:val="40"/>
          <w:szCs w:val="40"/>
        </w:rPr>
        <w:t>修正</w:t>
      </w:r>
      <w:r>
        <w:rPr>
          <w:rFonts w:ascii="標楷體" w:eastAsia="標楷體" w:hAnsi="標楷體" w:hint="eastAsia"/>
          <w:spacing w:val="-12"/>
          <w:sz w:val="40"/>
          <w:szCs w:val="40"/>
        </w:rPr>
        <w:t>條文</w:t>
      </w:r>
    </w:p>
    <w:bookmarkEnd w:id="0"/>
    <w:p w:rsidR="007808DA" w:rsidRDefault="007808DA" w:rsidP="00852CC4">
      <w:pPr>
        <w:rPr>
          <w:rFonts w:ascii="標楷體" w:eastAsia="標楷體" w:hAnsi="標楷體"/>
          <w:spacing w:val="-12"/>
          <w:sz w:val="40"/>
          <w:szCs w:val="40"/>
        </w:rPr>
      </w:pPr>
    </w:p>
    <w:p w:rsidR="007808DA" w:rsidRPr="00FF5ACD" w:rsidRDefault="007808DA" w:rsidP="002F6FAF">
      <w:pPr>
        <w:spacing w:line="440" w:lineRule="exact"/>
        <w:ind w:left="1619" w:hangingChars="506" w:hanging="1619"/>
        <w:jc w:val="both"/>
        <w:rPr>
          <w:rFonts w:ascii="標楷體" w:eastAsia="標楷體" w:hAnsi="標楷體" w:cs="標楷體"/>
          <w:sz w:val="32"/>
          <w:szCs w:val="32"/>
        </w:rPr>
      </w:pPr>
      <w:r w:rsidRPr="008D0B0A">
        <w:rPr>
          <w:rFonts w:ascii="標楷體" w:eastAsia="標楷體" w:hAnsi="標楷體" w:cs="標楷體" w:hint="eastAsia"/>
          <w:sz w:val="32"/>
          <w:szCs w:val="32"/>
        </w:rPr>
        <w:t>第</w:t>
      </w:r>
      <w:r w:rsidRPr="00C07A73">
        <w:rPr>
          <w:rFonts w:ascii="標楷體" w:eastAsia="標楷體" w:hAnsi="標楷體" w:cs="標楷體"/>
          <w:sz w:val="32"/>
          <w:szCs w:val="32"/>
        </w:rPr>
        <w:t xml:space="preserve"> </w:t>
      </w:r>
      <w:r>
        <w:rPr>
          <w:rFonts w:ascii="標楷體" w:eastAsia="標楷體" w:hAnsi="標楷體" w:cs="標楷體" w:hint="eastAsia"/>
          <w:sz w:val="32"/>
          <w:szCs w:val="32"/>
        </w:rPr>
        <w:t>十四</w:t>
      </w:r>
      <w:r w:rsidRPr="00C07A73">
        <w:rPr>
          <w:rFonts w:ascii="標楷體" w:eastAsia="標楷體" w:hAnsi="標楷體" w:cs="標楷體"/>
          <w:sz w:val="32"/>
          <w:szCs w:val="32"/>
        </w:rPr>
        <w:t xml:space="preserve"> </w:t>
      </w:r>
      <w:r w:rsidRPr="008D0B0A">
        <w:rPr>
          <w:rFonts w:ascii="標楷體" w:eastAsia="標楷體" w:hAnsi="標楷體" w:cs="標楷體" w:hint="eastAsia"/>
          <w:sz w:val="32"/>
          <w:szCs w:val="32"/>
        </w:rPr>
        <w:t>條</w:t>
      </w:r>
      <w:r>
        <w:rPr>
          <w:rFonts w:ascii="標楷體" w:eastAsia="標楷體" w:hAnsi="標楷體" w:cs="標楷體" w:hint="eastAsia"/>
          <w:sz w:val="32"/>
          <w:szCs w:val="32"/>
        </w:rPr>
        <w:t xml:space="preserve">　　</w:t>
      </w:r>
      <w:r w:rsidRPr="00FF5ACD">
        <w:rPr>
          <w:rFonts w:ascii="標楷體" w:eastAsia="標楷體" w:hAnsi="標楷體" w:cs="標楷體" w:hint="eastAsia"/>
          <w:sz w:val="32"/>
          <w:szCs w:val="32"/>
        </w:rPr>
        <w:t>本法第十二條第一項第二款所稱專案考績一次記二大功，以有下列情形之一且為主要貢獻者為限：</w:t>
      </w:r>
    </w:p>
    <w:p w:rsidR="007808DA" w:rsidRPr="00FF5ACD" w:rsidRDefault="007808DA" w:rsidP="002F6FAF">
      <w:pPr>
        <w:numPr>
          <w:ilvl w:val="0"/>
          <w:numId w:val="3"/>
        </w:numPr>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針對時弊，研擬改進措施，經主管機關採行確有重大成效。</w:t>
      </w:r>
    </w:p>
    <w:p w:rsidR="007808DA" w:rsidRPr="00FF5ACD" w:rsidRDefault="007808DA" w:rsidP="002F6FAF">
      <w:pPr>
        <w:numPr>
          <w:ilvl w:val="0"/>
          <w:numId w:val="3"/>
        </w:numPr>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對主辦業務，建立完善制度或提出重大革新具體方案，經主管機關採行確有顯著成效。</w:t>
      </w:r>
    </w:p>
    <w:p w:rsidR="007808DA" w:rsidRPr="00FF5ACD" w:rsidRDefault="007808DA" w:rsidP="002F6FAF">
      <w:pPr>
        <w:numPr>
          <w:ilvl w:val="0"/>
          <w:numId w:val="3"/>
        </w:numPr>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察舉嚴重不法事件，對維護國家安全、社會秩序或澄清吏治，確有卓越貢獻。</w:t>
      </w:r>
    </w:p>
    <w:p w:rsidR="007808DA" w:rsidRPr="00FF5ACD" w:rsidRDefault="007808DA" w:rsidP="002F6FAF">
      <w:pPr>
        <w:numPr>
          <w:ilvl w:val="0"/>
          <w:numId w:val="3"/>
        </w:numPr>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適時消弭重大意外事件或變故之發生，或就已發生重大意外事件或變故措置得宜，能予有效控制，對維護生命、財產或減少損害，確有重大貢獻。</w:t>
      </w:r>
    </w:p>
    <w:p w:rsidR="007808DA" w:rsidRPr="00FF5ACD" w:rsidRDefault="007808DA" w:rsidP="002F6FAF">
      <w:pPr>
        <w:numPr>
          <w:ilvl w:val="0"/>
          <w:numId w:val="3"/>
        </w:numPr>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遇重大事件，不為利誘，不為勢劫，而秉持立場，為國家或機關增進榮譽，有具體事實。</w:t>
      </w:r>
    </w:p>
    <w:p w:rsidR="007808DA" w:rsidRPr="00FF5ACD" w:rsidRDefault="007808DA" w:rsidP="002F6FAF">
      <w:pPr>
        <w:numPr>
          <w:ilvl w:val="0"/>
          <w:numId w:val="3"/>
        </w:numPr>
        <w:tabs>
          <w:tab w:val="num" w:pos="718"/>
        </w:tabs>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在工作中發明、創造，為國家取得重大經濟效益或增進社會重大公益，且未獲得相對報酬或獎金。</w:t>
      </w:r>
    </w:p>
    <w:p w:rsidR="007808DA" w:rsidRPr="00FF5ACD" w:rsidRDefault="007808DA" w:rsidP="002F6FAF">
      <w:pPr>
        <w:numPr>
          <w:ilvl w:val="0"/>
          <w:numId w:val="3"/>
        </w:numPr>
        <w:tabs>
          <w:tab w:val="num" w:pos="718"/>
        </w:tabs>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舉辦或參與大型國際性或重大國家級活動、會議，對增加國庫收入、經濟產值、促進邦交或達成國際合作協議，確有重大貢獻。</w:t>
      </w:r>
      <w:r w:rsidRPr="00FF5ACD">
        <w:rPr>
          <w:rFonts w:ascii="標楷體" w:eastAsia="標楷體" w:hAnsi="標楷體" w:cs="標楷體"/>
          <w:sz w:val="32"/>
          <w:szCs w:val="32"/>
        </w:rPr>
        <w:t xml:space="preserve"> </w:t>
      </w:r>
    </w:p>
    <w:p w:rsidR="007808DA" w:rsidRPr="00FF5ACD" w:rsidRDefault="007808DA" w:rsidP="002F6FAF">
      <w:pPr>
        <w:spacing w:line="440" w:lineRule="exact"/>
        <w:ind w:leftChars="675" w:left="1620" w:firstLineChars="211" w:firstLine="675"/>
        <w:jc w:val="both"/>
        <w:rPr>
          <w:rFonts w:ascii="標楷體" w:eastAsia="標楷體" w:hAnsi="標楷體" w:cs="標楷體"/>
          <w:sz w:val="32"/>
          <w:szCs w:val="32"/>
        </w:rPr>
      </w:pPr>
      <w:r w:rsidRPr="00FF5ACD">
        <w:rPr>
          <w:rFonts w:ascii="標楷體" w:eastAsia="標楷體" w:hAnsi="標楷體" w:cs="標楷體" w:hint="eastAsia"/>
          <w:sz w:val="32"/>
          <w:szCs w:val="32"/>
        </w:rPr>
        <w:t>前項各款情形不含機關例行性、經常性業務職掌事項。</w:t>
      </w:r>
    </w:p>
    <w:p w:rsidR="007808DA" w:rsidRPr="00FF5ACD" w:rsidRDefault="007808DA" w:rsidP="002F6FAF">
      <w:pPr>
        <w:spacing w:line="440" w:lineRule="exact"/>
        <w:ind w:leftChars="675" w:left="1620" w:firstLineChars="211" w:firstLine="675"/>
        <w:jc w:val="both"/>
        <w:rPr>
          <w:rFonts w:ascii="標楷體" w:eastAsia="標楷體" w:hAnsi="標楷體" w:cs="標楷體"/>
          <w:sz w:val="32"/>
          <w:szCs w:val="32"/>
        </w:rPr>
      </w:pPr>
      <w:r w:rsidRPr="00FF5ACD">
        <w:rPr>
          <w:rFonts w:ascii="標楷體" w:eastAsia="標楷體" w:hAnsi="標楷體" w:cs="標楷體" w:hint="eastAsia"/>
          <w:sz w:val="32"/>
          <w:szCs w:val="32"/>
        </w:rPr>
        <w:t>依第一項規定一次記二大功及本法第十二條規定一次記二大過之專案考績，應引據法條，詳述具體事實，經核定機關核定後，由主管機關送銓敘部銓敘審定。一次記二大功專案考績送銓敘部銓敘審定時，應檢附具體事實表。除優良事實涉及機密性業務者外，送銓敘部銓敘審定後，應將優良事實及獎勵令刊登政</w:t>
      </w:r>
      <w:r w:rsidRPr="00FF5ACD">
        <w:rPr>
          <w:rFonts w:ascii="標楷體" w:eastAsia="標楷體" w:hAnsi="標楷體" w:cs="標楷體" w:hint="eastAsia"/>
          <w:sz w:val="32"/>
          <w:szCs w:val="32"/>
        </w:rPr>
        <w:lastRenderedPageBreak/>
        <w:t>府公報。</w:t>
      </w:r>
    </w:p>
    <w:p w:rsidR="007808DA" w:rsidRPr="008E478B" w:rsidRDefault="007808DA" w:rsidP="002F6FAF">
      <w:pPr>
        <w:spacing w:line="440" w:lineRule="exact"/>
        <w:ind w:leftChars="675" w:left="1620" w:firstLineChars="211" w:firstLine="675"/>
        <w:jc w:val="both"/>
        <w:rPr>
          <w:rFonts w:ascii="標楷體" w:eastAsia="標楷體" w:hAnsi="標楷體" w:cs="標楷體"/>
          <w:sz w:val="32"/>
          <w:szCs w:val="32"/>
        </w:rPr>
      </w:pPr>
      <w:r w:rsidRPr="00FF5ACD">
        <w:rPr>
          <w:rFonts w:ascii="標楷體" w:eastAsia="標楷體" w:hAnsi="標楷體" w:cs="標楷體" w:hint="eastAsia"/>
          <w:sz w:val="32"/>
          <w:szCs w:val="32"/>
        </w:rPr>
        <w:t>前項主</w:t>
      </w:r>
      <w:r w:rsidRPr="008E478B">
        <w:rPr>
          <w:rFonts w:ascii="標楷體" w:eastAsia="標楷體" w:hAnsi="標楷體" w:cs="標楷體" w:hint="eastAsia"/>
          <w:sz w:val="32"/>
          <w:szCs w:val="32"/>
        </w:rPr>
        <w:t>管機關應就第一項專案考績案件之性質、規模、困難度及複雜度等，為妥適性及衡平性之考量，其有授權所屬機關核</w:t>
      </w:r>
      <w:r w:rsidRPr="00FF5ACD">
        <w:rPr>
          <w:rFonts w:ascii="標楷體" w:eastAsia="標楷體" w:hAnsi="標楷體" w:cs="標楷體" w:hint="eastAsia"/>
          <w:sz w:val="32"/>
          <w:szCs w:val="32"/>
        </w:rPr>
        <w:t>定</w:t>
      </w:r>
      <w:r w:rsidRPr="008E478B">
        <w:rPr>
          <w:rFonts w:ascii="標楷體" w:eastAsia="標楷體" w:hAnsi="標楷體" w:cs="標楷體" w:hint="eastAsia"/>
          <w:sz w:val="32"/>
          <w:szCs w:val="32"/>
        </w:rPr>
        <w:t>者，並得依原送案程序，退還核定機關再行審酌。</w:t>
      </w:r>
    </w:p>
    <w:p w:rsidR="007808DA" w:rsidRPr="00FF5ACD" w:rsidRDefault="007808DA" w:rsidP="002F6FAF">
      <w:pPr>
        <w:spacing w:line="440" w:lineRule="exact"/>
        <w:ind w:leftChars="675" w:left="1620" w:firstLineChars="211" w:firstLine="675"/>
        <w:jc w:val="both"/>
        <w:rPr>
          <w:rFonts w:ascii="標楷體" w:eastAsia="標楷體" w:hAnsi="標楷體" w:cs="標楷體"/>
          <w:sz w:val="32"/>
          <w:szCs w:val="32"/>
        </w:rPr>
      </w:pPr>
      <w:r w:rsidRPr="00FF5ACD">
        <w:rPr>
          <w:rFonts w:ascii="標楷體" w:eastAsia="標楷體" w:hAnsi="標楷體" w:cs="標楷體" w:hint="eastAsia"/>
          <w:sz w:val="32"/>
          <w:szCs w:val="32"/>
        </w:rPr>
        <w:t>第三項一次記二大功專案考績具體事實表格式，由銓敘部定之。</w:t>
      </w:r>
    </w:p>
    <w:p w:rsidR="007808DA" w:rsidRPr="00852CC4" w:rsidRDefault="007808DA" w:rsidP="00FF5ACD">
      <w:pPr>
        <w:spacing w:line="440" w:lineRule="exact"/>
        <w:jc w:val="both"/>
        <w:rPr>
          <w:rFonts w:ascii="標楷體" w:eastAsia="標楷體" w:hAnsi="標楷體" w:cs="標楷體"/>
          <w:sz w:val="32"/>
          <w:szCs w:val="32"/>
        </w:rPr>
      </w:pPr>
    </w:p>
    <w:sectPr w:rsidR="007808DA" w:rsidRPr="00852CC4" w:rsidSect="00852CC4">
      <w:footerReference w:type="default" r:id="rId7"/>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DA5" w:rsidRDefault="003D7DA5" w:rsidP="00877E24">
      <w:r>
        <w:separator/>
      </w:r>
    </w:p>
  </w:endnote>
  <w:endnote w:type="continuationSeparator" w:id="0">
    <w:p w:rsidR="003D7DA5" w:rsidRDefault="003D7DA5" w:rsidP="0087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8DA" w:rsidRDefault="007808DA">
    <w:pPr>
      <w:pStyle w:val="a6"/>
      <w:jc w:val="center"/>
    </w:pPr>
    <w:r>
      <w:rPr>
        <w:noProof/>
        <w:lang w:val="zh-TW"/>
      </w:rPr>
      <w:fldChar w:fldCharType="begin"/>
    </w:r>
    <w:r>
      <w:rPr>
        <w:noProof/>
        <w:lang w:val="zh-TW"/>
      </w:rPr>
      <w:instrText>PAGE   \* MERGEFORMAT</w:instrText>
    </w:r>
    <w:r>
      <w:rPr>
        <w:noProof/>
        <w:lang w:val="zh-TW"/>
      </w:rPr>
      <w:fldChar w:fldCharType="separate"/>
    </w:r>
    <w:r w:rsidR="00270C48">
      <w:rPr>
        <w:noProof/>
        <w:lang w:val="zh-TW"/>
      </w:rPr>
      <w:t>1</w:t>
    </w:r>
    <w:r>
      <w:rPr>
        <w:noProof/>
        <w:lang w:val="zh-TW"/>
      </w:rPr>
      <w:fldChar w:fldCharType="end"/>
    </w:r>
  </w:p>
  <w:p w:rsidR="007808DA" w:rsidRDefault="007808D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DA5" w:rsidRDefault="003D7DA5" w:rsidP="00877E24">
      <w:r>
        <w:separator/>
      </w:r>
    </w:p>
  </w:footnote>
  <w:footnote w:type="continuationSeparator" w:id="0">
    <w:p w:rsidR="003D7DA5" w:rsidRDefault="003D7DA5" w:rsidP="00877E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64DFA"/>
    <w:multiLevelType w:val="hybridMultilevel"/>
    <w:tmpl w:val="B7584C06"/>
    <w:lvl w:ilvl="0" w:tplc="D4C40A2A">
      <w:start w:val="1"/>
      <w:numFmt w:val="taiwaneseCountingThousand"/>
      <w:lvlText w:val="%1、"/>
      <w:lvlJc w:val="left"/>
      <w:pPr>
        <w:ind w:left="600" w:hanging="360"/>
      </w:pPr>
      <w:rPr>
        <w:rFonts w:cs="Times New Roman" w:hint="default"/>
        <w:color w:val="auto"/>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
    <w:nsid w:val="3E212902"/>
    <w:multiLevelType w:val="multilevel"/>
    <w:tmpl w:val="CB46BEFE"/>
    <w:lvl w:ilvl="0">
      <w:start w:val="1"/>
      <w:numFmt w:val="taiwaneseCountingThousand"/>
      <w:suff w:val="nothing"/>
      <w:lvlText w:val="%1、"/>
      <w:lvlJc w:val="left"/>
      <w:pPr>
        <w:ind w:left="714" w:hanging="476"/>
      </w:pPr>
      <w:rPr>
        <w:rFonts w:cs="Times New Roman"/>
        <w:color w:val="000000"/>
      </w:rPr>
    </w:lvl>
    <w:lvl w:ilvl="1">
      <w:start w:val="1"/>
      <w:numFmt w:val="taiwaneseCountingThousand"/>
      <w:suff w:val="nothing"/>
      <w:lvlText w:val="(%2)"/>
      <w:lvlJc w:val="left"/>
      <w:pPr>
        <w:ind w:left="1077" w:hanging="363"/>
      </w:pPr>
      <w:rPr>
        <w:rFonts w:cs="Times New Roman"/>
      </w:rPr>
    </w:lvl>
    <w:lvl w:ilvl="2">
      <w:start w:val="1"/>
      <w:numFmt w:val="decimalFullWidth"/>
      <w:suff w:val="nothing"/>
      <w:lvlText w:val="%3、"/>
      <w:lvlJc w:val="left"/>
      <w:pPr>
        <w:ind w:left="1429" w:hanging="477"/>
      </w:pPr>
      <w:rPr>
        <w:rFonts w:cs="Times New Roman"/>
      </w:rPr>
    </w:lvl>
    <w:lvl w:ilvl="3">
      <w:start w:val="1"/>
      <w:numFmt w:val="decimalFullWidth"/>
      <w:suff w:val="nothing"/>
      <w:lvlText w:val="(%4)"/>
      <w:lvlJc w:val="left"/>
      <w:pPr>
        <w:ind w:left="1905" w:hanging="714"/>
      </w:pPr>
      <w:rPr>
        <w:rFonts w:cs="Times New Roman"/>
      </w:rPr>
    </w:lvl>
    <w:lvl w:ilvl="4">
      <w:start w:val="1"/>
      <w:numFmt w:val="ideographTraditional"/>
      <w:suff w:val="nothing"/>
      <w:lvlText w:val="%5、"/>
      <w:lvlJc w:val="left"/>
      <w:pPr>
        <w:ind w:left="2143" w:hanging="476"/>
      </w:pPr>
      <w:rPr>
        <w:rFonts w:cs="Times New Roman"/>
      </w:rPr>
    </w:lvl>
    <w:lvl w:ilvl="5">
      <w:start w:val="1"/>
      <w:numFmt w:val="ideographTraditional"/>
      <w:suff w:val="nothing"/>
      <w:lvlText w:val="(%6)"/>
      <w:lvlJc w:val="left"/>
      <w:pPr>
        <w:ind w:left="2619" w:hanging="714"/>
      </w:pPr>
      <w:rPr>
        <w:rFonts w:cs="Times New Roman"/>
      </w:rPr>
    </w:lvl>
    <w:lvl w:ilvl="6">
      <w:start w:val="1"/>
      <w:numFmt w:val="ideographZodiac"/>
      <w:suff w:val="nothing"/>
      <w:lvlText w:val="%7、"/>
      <w:lvlJc w:val="left"/>
      <w:pPr>
        <w:ind w:left="2857" w:hanging="476"/>
      </w:pPr>
      <w:rPr>
        <w:rFonts w:cs="Times New Roman"/>
      </w:rPr>
    </w:lvl>
    <w:lvl w:ilvl="7">
      <w:start w:val="1"/>
      <w:numFmt w:val="ideographZodiac"/>
      <w:suff w:val="nothing"/>
      <w:lvlText w:val="(%8)"/>
      <w:lvlJc w:val="left"/>
      <w:pPr>
        <w:ind w:left="3334" w:hanging="715"/>
      </w:pPr>
      <w:rPr>
        <w:rFonts w:cs="Times New Roman"/>
      </w:rPr>
    </w:lvl>
    <w:lvl w:ilvl="8">
      <w:start w:val="1"/>
      <w:numFmt w:val="decimalFullWidth"/>
      <w:suff w:val="nothing"/>
      <w:lvlText w:val="%9）"/>
      <w:lvlJc w:val="left"/>
      <w:pPr>
        <w:ind w:left="3572" w:hanging="477"/>
      </w:pPr>
      <w:rPr>
        <w:rFonts w:cs="Times New Roman"/>
      </w:rPr>
    </w:lvl>
  </w:abstractNum>
  <w:abstractNum w:abstractNumId="2">
    <w:nsid w:val="4E956AC0"/>
    <w:multiLevelType w:val="multilevel"/>
    <w:tmpl w:val="80A6FBBA"/>
    <w:lvl w:ilvl="0">
      <w:start w:val="1"/>
      <w:numFmt w:val="taiwaneseCountingThousand"/>
      <w:suff w:val="nothing"/>
      <w:lvlText w:val="%1、"/>
      <w:lvlJc w:val="left"/>
      <w:pPr>
        <w:ind w:left="714" w:hanging="476"/>
      </w:pPr>
      <w:rPr>
        <w:rFonts w:cs="Times New Roman"/>
      </w:rPr>
    </w:lvl>
    <w:lvl w:ilvl="1">
      <w:start w:val="1"/>
      <w:numFmt w:val="taiwaneseCountingThousand"/>
      <w:suff w:val="nothing"/>
      <w:lvlText w:val="(%2)"/>
      <w:lvlJc w:val="left"/>
      <w:pPr>
        <w:ind w:left="1077" w:hanging="363"/>
      </w:pPr>
      <w:rPr>
        <w:rFonts w:cs="Times New Roman"/>
      </w:rPr>
    </w:lvl>
    <w:lvl w:ilvl="2">
      <w:start w:val="1"/>
      <w:numFmt w:val="decimalFullWidth"/>
      <w:suff w:val="nothing"/>
      <w:lvlText w:val="%3、"/>
      <w:lvlJc w:val="left"/>
      <w:pPr>
        <w:ind w:left="1429" w:hanging="477"/>
      </w:pPr>
      <w:rPr>
        <w:rFonts w:cs="Times New Roman"/>
      </w:rPr>
    </w:lvl>
    <w:lvl w:ilvl="3">
      <w:start w:val="1"/>
      <w:numFmt w:val="decimalFullWidth"/>
      <w:suff w:val="nothing"/>
      <w:lvlText w:val="(%4)"/>
      <w:lvlJc w:val="left"/>
      <w:pPr>
        <w:ind w:left="1905" w:hanging="714"/>
      </w:pPr>
      <w:rPr>
        <w:rFonts w:cs="Times New Roman"/>
      </w:rPr>
    </w:lvl>
    <w:lvl w:ilvl="4">
      <w:start w:val="1"/>
      <w:numFmt w:val="ideographTraditional"/>
      <w:suff w:val="nothing"/>
      <w:lvlText w:val="%5、"/>
      <w:lvlJc w:val="left"/>
      <w:pPr>
        <w:ind w:left="2143" w:hanging="476"/>
      </w:pPr>
      <w:rPr>
        <w:rFonts w:cs="Times New Roman"/>
      </w:rPr>
    </w:lvl>
    <w:lvl w:ilvl="5">
      <w:start w:val="1"/>
      <w:numFmt w:val="ideographTraditional"/>
      <w:suff w:val="nothing"/>
      <w:lvlText w:val="(%6)"/>
      <w:lvlJc w:val="left"/>
      <w:pPr>
        <w:ind w:left="2619" w:hanging="714"/>
      </w:pPr>
      <w:rPr>
        <w:rFonts w:cs="Times New Roman"/>
      </w:rPr>
    </w:lvl>
    <w:lvl w:ilvl="6">
      <w:start w:val="1"/>
      <w:numFmt w:val="ideographZodiac"/>
      <w:suff w:val="nothing"/>
      <w:lvlText w:val="%7、"/>
      <w:lvlJc w:val="left"/>
      <w:pPr>
        <w:ind w:left="2857" w:hanging="476"/>
      </w:pPr>
      <w:rPr>
        <w:rFonts w:cs="Times New Roman"/>
      </w:rPr>
    </w:lvl>
    <w:lvl w:ilvl="7">
      <w:start w:val="1"/>
      <w:numFmt w:val="ideographZodiac"/>
      <w:suff w:val="nothing"/>
      <w:lvlText w:val="(%8)"/>
      <w:lvlJc w:val="left"/>
      <w:pPr>
        <w:ind w:left="3334" w:hanging="715"/>
      </w:pPr>
      <w:rPr>
        <w:rFonts w:cs="Times New Roman"/>
      </w:rPr>
    </w:lvl>
    <w:lvl w:ilvl="8">
      <w:start w:val="1"/>
      <w:numFmt w:val="decimalFullWidth"/>
      <w:suff w:val="nothing"/>
      <w:lvlText w:val="%9）"/>
      <w:lvlJc w:val="left"/>
      <w:pPr>
        <w:ind w:left="3572" w:hanging="477"/>
      </w:pPr>
      <w:rPr>
        <w:rFonts w:cs="Times New Roman"/>
      </w:rPr>
    </w:lvl>
  </w:abstractNum>
  <w:abstractNum w:abstractNumId="3">
    <w:nsid w:val="7779265E"/>
    <w:multiLevelType w:val="multilevel"/>
    <w:tmpl w:val="5B9CF766"/>
    <w:lvl w:ilvl="0">
      <w:start w:val="6"/>
      <w:numFmt w:val="taiwaneseCountingThousand"/>
      <w:lvlText w:val="%1、"/>
      <w:lvlJc w:val="left"/>
      <w:pPr>
        <w:tabs>
          <w:tab w:val="num" w:pos="718"/>
        </w:tabs>
        <w:ind w:left="718" w:hanging="480"/>
      </w:pPr>
      <w:rPr>
        <w:rFonts w:cs="Times New Roman" w:hint="eastAsia"/>
        <w:u w:val="none"/>
      </w:rPr>
    </w:lvl>
    <w:lvl w:ilvl="1">
      <w:start w:val="1"/>
      <w:numFmt w:val="taiwaneseCountingThousand"/>
      <w:suff w:val="nothing"/>
      <w:lvlText w:val="(%2)"/>
      <w:lvlJc w:val="left"/>
      <w:pPr>
        <w:ind w:left="1077" w:hanging="363"/>
      </w:pPr>
      <w:rPr>
        <w:rFonts w:cs="Times New Roman"/>
      </w:rPr>
    </w:lvl>
    <w:lvl w:ilvl="2">
      <w:start w:val="1"/>
      <w:numFmt w:val="decimalFullWidth"/>
      <w:suff w:val="nothing"/>
      <w:lvlText w:val="%3、"/>
      <w:lvlJc w:val="left"/>
      <w:pPr>
        <w:ind w:left="1429" w:hanging="477"/>
      </w:pPr>
      <w:rPr>
        <w:rFonts w:cs="Times New Roman"/>
      </w:rPr>
    </w:lvl>
    <w:lvl w:ilvl="3">
      <w:start w:val="1"/>
      <w:numFmt w:val="decimalFullWidth"/>
      <w:suff w:val="nothing"/>
      <w:lvlText w:val="(%4)"/>
      <w:lvlJc w:val="left"/>
      <w:pPr>
        <w:ind w:left="1905" w:hanging="714"/>
      </w:pPr>
      <w:rPr>
        <w:rFonts w:cs="Times New Roman"/>
      </w:rPr>
    </w:lvl>
    <w:lvl w:ilvl="4">
      <w:start w:val="1"/>
      <w:numFmt w:val="ideographTraditional"/>
      <w:suff w:val="nothing"/>
      <w:lvlText w:val="%5、"/>
      <w:lvlJc w:val="left"/>
      <w:pPr>
        <w:ind w:left="2143" w:hanging="476"/>
      </w:pPr>
      <w:rPr>
        <w:rFonts w:cs="Times New Roman"/>
      </w:rPr>
    </w:lvl>
    <w:lvl w:ilvl="5">
      <w:start w:val="1"/>
      <w:numFmt w:val="ideographTraditional"/>
      <w:suff w:val="nothing"/>
      <w:lvlText w:val="(%6)"/>
      <w:lvlJc w:val="left"/>
      <w:pPr>
        <w:ind w:left="2619" w:hanging="714"/>
      </w:pPr>
      <w:rPr>
        <w:rFonts w:cs="Times New Roman"/>
      </w:rPr>
    </w:lvl>
    <w:lvl w:ilvl="6">
      <w:start w:val="1"/>
      <w:numFmt w:val="ideographZodiac"/>
      <w:suff w:val="nothing"/>
      <w:lvlText w:val="%7、"/>
      <w:lvlJc w:val="left"/>
      <w:pPr>
        <w:ind w:left="2857" w:hanging="476"/>
      </w:pPr>
      <w:rPr>
        <w:rFonts w:cs="Times New Roman"/>
      </w:rPr>
    </w:lvl>
    <w:lvl w:ilvl="7">
      <w:start w:val="1"/>
      <w:numFmt w:val="ideographZodiac"/>
      <w:suff w:val="nothing"/>
      <w:lvlText w:val="(%8)"/>
      <w:lvlJc w:val="left"/>
      <w:pPr>
        <w:ind w:left="3334" w:hanging="715"/>
      </w:pPr>
      <w:rPr>
        <w:rFonts w:cs="Times New Roman"/>
      </w:rPr>
    </w:lvl>
    <w:lvl w:ilvl="8">
      <w:start w:val="1"/>
      <w:numFmt w:val="decimalFullWidth"/>
      <w:suff w:val="nothing"/>
      <w:lvlText w:val="%9）"/>
      <w:lvlJc w:val="left"/>
      <w:pPr>
        <w:ind w:left="3572" w:hanging="477"/>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2CC4"/>
    <w:rsid w:val="00014EBD"/>
    <w:rsid w:val="00197533"/>
    <w:rsid w:val="001E5DF6"/>
    <w:rsid w:val="001E5FA0"/>
    <w:rsid w:val="00252885"/>
    <w:rsid w:val="00270C48"/>
    <w:rsid w:val="002F6A54"/>
    <w:rsid w:val="002F6FAF"/>
    <w:rsid w:val="003A3A1A"/>
    <w:rsid w:val="003A600B"/>
    <w:rsid w:val="003D7DA5"/>
    <w:rsid w:val="00463687"/>
    <w:rsid w:val="004825AC"/>
    <w:rsid w:val="00525512"/>
    <w:rsid w:val="005D29B4"/>
    <w:rsid w:val="00636C4B"/>
    <w:rsid w:val="00664119"/>
    <w:rsid w:val="006F6C44"/>
    <w:rsid w:val="007310FB"/>
    <w:rsid w:val="007808DA"/>
    <w:rsid w:val="007B0DCC"/>
    <w:rsid w:val="008153B8"/>
    <w:rsid w:val="00852CC4"/>
    <w:rsid w:val="00877E24"/>
    <w:rsid w:val="008D0B0A"/>
    <w:rsid w:val="008E478B"/>
    <w:rsid w:val="00932A2E"/>
    <w:rsid w:val="00964077"/>
    <w:rsid w:val="009E2EB0"/>
    <w:rsid w:val="00AD6887"/>
    <w:rsid w:val="00B16FDF"/>
    <w:rsid w:val="00BA793F"/>
    <w:rsid w:val="00BC6668"/>
    <w:rsid w:val="00C07A73"/>
    <w:rsid w:val="00D52EA1"/>
    <w:rsid w:val="00E16C9D"/>
    <w:rsid w:val="00E23C0A"/>
    <w:rsid w:val="00E81DB4"/>
    <w:rsid w:val="00F250D0"/>
    <w:rsid w:val="00F6129E"/>
    <w:rsid w:val="00F82363"/>
    <w:rsid w:val="00FB3D93"/>
    <w:rsid w:val="00FF5A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680A538-5186-405A-922D-E9D68EB77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EA1"/>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36C4B"/>
    <w:pPr>
      <w:ind w:leftChars="200" w:left="480"/>
    </w:pPr>
  </w:style>
  <w:style w:type="paragraph" w:styleId="a4">
    <w:name w:val="header"/>
    <w:basedOn w:val="a"/>
    <w:link w:val="a5"/>
    <w:uiPriority w:val="99"/>
    <w:rsid w:val="00877E24"/>
    <w:pPr>
      <w:tabs>
        <w:tab w:val="center" w:pos="4153"/>
        <w:tab w:val="right" w:pos="8306"/>
      </w:tabs>
      <w:snapToGrid w:val="0"/>
    </w:pPr>
    <w:rPr>
      <w:sz w:val="20"/>
      <w:szCs w:val="20"/>
    </w:rPr>
  </w:style>
  <w:style w:type="character" w:customStyle="1" w:styleId="a5">
    <w:name w:val="頁首 字元"/>
    <w:link w:val="a4"/>
    <w:uiPriority w:val="99"/>
    <w:locked/>
    <w:rsid w:val="00877E24"/>
    <w:rPr>
      <w:rFonts w:cs="Times New Roman"/>
      <w:sz w:val="20"/>
      <w:szCs w:val="20"/>
    </w:rPr>
  </w:style>
  <w:style w:type="paragraph" w:styleId="a6">
    <w:name w:val="footer"/>
    <w:basedOn w:val="a"/>
    <w:link w:val="a7"/>
    <w:uiPriority w:val="99"/>
    <w:rsid w:val="00877E24"/>
    <w:pPr>
      <w:tabs>
        <w:tab w:val="center" w:pos="4153"/>
        <w:tab w:val="right" w:pos="8306"/>
      </w:tabs>
      <w:snapToGrid w:val="0"/>
    </w:pPr>
    <w:rPr>
      <w:sz w:val="20"/>
      <w:szCs w:val="20"/>
    </w:rPr>
  </w:style>
  <w:style w:type="character" w:customStyle="1" w:styleId="a7">
    <w:name w:val="頁尾 字元"/>
    <w:link w:val="a6"/>
    <w:uiPriority w:val="99"/>
    <w:locked/>
    <w:rsid w:val="00877E24"/>
    <w:rPr>
      <w:rFonts w:cs="Times New Roman"/>
      <w:sz w:val="20"/>
      <w:szCs w:val="20"/>
    </w:rPr>
  </w:style>
  <w:style w:type="paragraph" w:styleId="a8">
    <w:name w:val="Balloon Text"/>
    <w:basedOn w:val="a"/>
    <w:link w:val="a9"/>
    <w:uiPriority w:val="99"/>
    <w:semiHidden/>
    <w:rsid w:val="00F82363"/>
    <w:rPr>
      <w:rFonts w:ascii="Arial" w:hAnsi="Arial"/>
      <w:sz w:val="18"/>
      <w:szCs w:val="18"/>
    </w:rPr>
  </w:style>
  <w:style w:type="character" w:customStyle="1" w:styleId="a9">
    <w:name w:val="註解方塊文字 字元"/>
    <w:link w:val="a8"/>
    <w:uiPriority w:val="99"/>
    <w:semiHidden/>
    <w:locked/>
    <w:rsid w:val="006F6C44"/>
    <w:rPr>
      <w:rFonts w:ascii="Cambria" w:eastAsia="新細明體" w:hAnsi="Cambria"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公務人員考績法施行細則部分條文修正條文</dc:title>
  <dc:subject/>
  <dc:creator>陳珮婷</dc:creator>
  <cp:keywords/>
  <dc:description/>
  <cp:lastModifiedBy>User</cp:lastModifiedBy>
  <cp:revision>2</cp:revision>
  <cp:lastPrinted>2015-12-29T01:41:00Z</cp:lastPrinted>
  <dcterms:created xsi:type="dcterms:W3CDTF">2021-08-23T06:20:00Z</dcterms:created>
  <dcterms:modified xsi:type="dcterms:W3CDTF">2021-08-23T06:20:00Z</dcterms:modified>
</cp:coreProperties>
</file>